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11" w:rsidRDefault="00FF3311">
      <w:r>
        <w:t>Excel/MAPAS/Resumen de los datos</w:t>
      </w:r>
    </w:p>
    <w:p w:rsidR="002B175D" w:rsidRDefault="00A2225C">
      <w:r>
        <w:rPr>
          <w:noProof/>
          <w:lang w:eastAsia="es-ES"/>
        </w:rPr>
        <w:drawing>
          <wp:inline distT="0" distB="0" distL="0" distR="0" wp14:anchorId="63293FF4" wp14:editId="271B33AF">
            <wp:extent cx="4707228" cy="2382592"/>
            <wp:effectExtent l="0" t="0" r="17780" b="1778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2225C" w:rsidRDefault="00A2225C">
      <w:r>
        <w:rPr>
          <w:noProof/>
          <w:lang w:eastAsia="es-ES"/>
        </w:rPr>
        <w:drawing>
          <wp:inline distT="0" distB="0" distL="0" distR="0" wp14:anchorId="74CA5F83" wp14:editId="46F0F427">
            <wp:extent cx="4243589" cy="2427668"/>
            <wp:effectExtent l="0" t="0" r="24130" b="10795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2225C" w:rsidRDefault="00A2225C">
      <w:r>
        <w:rPr>
          <w:noProof/>
          <w:lang w:eastAsia="es-ES"/>
        </w:rPr>
        <w:drawing>
          <wp:inline distT="0" distB="0" distL="0" distR="0" wp14:anchorId="5503EAAE" wp14:editId="7D154AC6">
            <wp:extent cx="4578439" cy="2279561"/>
            <wp:effectExtent l="0" t="0" r="12700" b="26035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2225C" w:rsidRDefault="00A2225C">
      <w:r>
        <w:rPr>
          <w:noProof/>
          <w:lang w:eastAsia="es-ES"/>
        </w:rPr>
        <w:lastRenderedPageBreak/>
        <w:drawing>
          <wp:inline distT="0" distB="0" distL="0" distR="0" wp14:anchorId="79CED6F1" wp14:editId="441E560A">
            <wp:extent cx="5471161" cy="2840355"/>
            <wp:effectExtent l="0" t="0" r="15240" b="17145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36470" w:rsidRDefault="0094076F">
      <w:r>
        <w:t>Excel/MAPAS/</w:t>
      </w:r>
      <w:r w:rsidR="00736470">
        <w:t>Resumen</w:t>
      </w:r>
      <w:r>
        <w:t xml:space="preserve"> global (</w:t>
      </w:r>
      <w:r w:rsidR="00FF3311">
        <w:t>2014</w:t>
      </w:r>
      <w:r>
        <w:t>)</w:t>
      </w:r>
    </w:p>
    <w:p w:rsidR="00A2225C" w:rsidRDefault="00A2225C">
      <w:r>
        <w:rPr>
          <w:noProof/>
          <w:lang w:eastAsia="es-ES"/>
        </w:rPr>
        <w:drawing>
          <wp:inline distT="0" distB="0" distL="0" distR="0" wp14:anchorId="03C248C6" wp14:editId="5BE64E21">
            <wp:extent cx="3071611" cy="2208727"/>
            <wp:effectExtent l="0" t="0" r="14605" b="20320"/>
            <wp:docPr id="5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0B7D27E5" wp14:editId="5B703C08">
            <wp:extent cx="3245476" cy="1957589"/>
            <wp:effectExtent l="0" t="0" r="12700" b="24130"/>
            <wp:docPr id="6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36470" w:rsidRDefault="00736470">
      <w:r>
        <w:rPr>
          <w:noProof/>
          <w:lang w:eastAsia="es-ES"/>
        </w:rPr>
        <w:drawing>
          <wp:inline distT="0" distB="0" distL="0" distR="0" wp14:anchorId="1CE7A0C9" wp14:editId="6A3B0843">
            <wp:extent cx="3477296" cy="1835239"/>
            <wp:effectExtent l="0" t="0" r="27940" b="12700"/>
            <wp:docPr id="7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612411C2" wp14:editId="4A08A9C4">
            <wp:extent cx="2917065" cy="1493949"/>
            <wp:effectExtent l="0" t="0" r="17145" b="11430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36470" w:rsidRDefault="00736470">
      <w:r>
        <w:rPr>
          <w:noProof/>
          <w:lang w:eastAsia="es-ES"/>
        </w:rPr>
        <w:lastRenderedPageBreak/>
        <w:drawing>
          <wp:inline distT="0" distB="0" distL="0" distR="0" wp14:anchorId="0667E7AF" wp14:editId="23A7F8EE">
            <wp:extent cx="4919730" cy="2743200"/>
            <wp:effectExtent l="0" t="0" r="14605" b="19050"/>
            <wp:docPr id="9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4076F" w:rsidRDefault="00736470">
      <w:r>
        <w:rPr>
          <w:noProof/>
          <w:lang w:eastAsia="es-ES"/>
        </w:rPr>
        <w:drawing>
          <wp:inline distT="0" distB="0" distL="0" distR="0" wp14:anchorId="0D417C2F" wp14:editId="1F53DABF">
            <wp:extent cx="5125792" cy="2479183"/>
            <wp:effectExtent l="0" t="0" r="17780" b="16510"/>
            <wp:docPr id="10" name="Grá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4076F" w:rsidRDefault="00736470">
      <w:r>
        <w:rPr>
          <w:noProof/>
          <w:lang w:eastAsia="es-ES"/>
        </w:rPr>
        <w:drawing>
          <wp:inline distT="0" distB="0" distL="0" distR="0" wp14:anchorId="7F464ED3" wp14:editId="233E34AF">
            <wp:extent cx="5280338" cy="2595093"/>
            <wp:effectExtent l="0" t="0" r="15875" b="15240"/>
            <wp:docPr id="12" name="Grá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36470" w:rsidRDefault="00736470">
      <w:r>
        <w:rPr>
          <w:noProof/>
          <w:lang w:eastAsia="es-ES"/>
        </w:rPr>
        <w:lastRenderedPageBreak/>
        <w:drawing>
          <wp:inline distT="0" distB="0" distL="0" distR="0" wp14:anchorId="27A3A2F8" wp14:editId="4BAFC7D4">
            <wp:extent cx="5541645" cy="2911792"/>
            <wp:effectExtent l="0" t="0" r="20955" b="22225"/>
            <wp:docPr id="11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36470" w:rsidRDefault="00736470">
      <w:r>
        <w:rPr>
          <w:noProof/>
          <w:lang w:eastAsia="es-ES"/>
        </w:rPr>
        <w:drawing>
          <wp:inline distT="0" distB="0" distL="0" distR="0" wp14:anchorId="273B79F8" wp14:editId="60937705">
            <wp:extent cx="5560695" cy="2840355"/>
            <wp:effectExtent l="0" t="0" r="20955" b="17145"/>
            <wp:docPr id="13" name="Grá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36470" w:rsidRDefault="0094076F">
      <w:r w:rsidRPr="0094076F">
        <w:t>Excel/</w:t>
      </w:r>
      <w:r>
        <w:t>Listado de colecciones</w:t>
      </w:r>
      <w:r w:rsidRPr="0094076F">
        <w:t>/Resumen global (2014)</w:t>
      </w:r>
    </w:p>
    <w:p w:rsidR="0094076F" w:rsidRDefault="0094076F">
      <w:r>
        <w:rPr>
          <w:noProof/>
          <w:lang w:eastAsia="es-ES"/>
        </w:rPr>
        <w:drawing>
          <wp:inline distT="0" distB="0" distL="0" distR="0" wp14:anchorId="4188616C" wp14:editId="1160DB19">
            <wp:extent cx="5612130" cy="2918460"/>
            <wp:effectExtent l="0" t="0" r="26670" b="15240"/>
            <wp:docPr id="14" name="Gráfico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4076F" w:rsidRDefault="0094076F">
      <w:r>
        <w:rPr>
          <w:noProof/>
          <w:lang w:eastAsia="es-ES"/>
        </w:rPr>
        <w:lastRenderedPageBreak/>
        <w:drawing>
          <wp:inline distT="0" distB="0" distL="0" distR="0" wp14:anchorId="1A6DB27D" wp14:editId="2A9AE395">
            <wp:extent cx="5612130" cy="2839720"/>
            <wp:effectExtent l="0" t="0" r="26670" b="17780"/>
            <wp:docPr id="15" name="Grá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bookmarkStart w:id="0" w:name="_GoBack"/>
      <w:bookmarkEnd w:id="0"/>
    </w:p>
    <w:p w:rsidR="0094076F" w:rsidRDefault="0094076F"/>
    <w:sectPr w:rsidR="0094076F" w:rsidSect="00A22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F9"/>
    <w:rsid w:val="001D32F9"/>
    <w:rsid w:val="002B175D"/>
    <w:rsid w:val="00736470"/>
    <w:rsid w:val="0094076F"/>
    <w:rsid w:val="00A2225C"/>
    <w:rsid w:val="00F06FFF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22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2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" Type="http://schemas.microsoft.com/office/2007/relationships/stylesWithEffects" Target="stylesWithEffects.xml"/><Relationship Id="rId16" Type="http://schemas.openxmlformats.org/officeDocument/2006/relationships/chart" Target="charts/chart1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Listado%20de%20colecciones.xlsx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Listado%20de%20colecciones.xlsx" TargetMode="External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lipe\Desktop\Felipe%20GBIF\Informe%20general%202014\MAPAS.xlsx" TargetMode="External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v>Tipo de colección/base de datos</c:v>
          </c:tx>
          <c:dPt>
            <c:idx val="0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0.14032272528433945"/>
                  <c:y val="-5.746135899679207E-2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102154418197725"/>
                  <c:y val="7.7916302128900553E-3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es-E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'Resumen de los datos'!$A$16:$A$20</c:f>
              <c:strCache>
                <c:ptCount val="5"/>
                <c:pt idx="0">
                  <c:v>Botánica</c:v>
                </c:pt>
                <c:pt idx="1">
                  <c:v>Zoológica</c:v>
                </c:pt>
                <c:pt idx="2">
                  <c:v>Paleontológica</c:v>
                </c:pt>
                <c:pt idx="3">
                  <c:v>Mixta</c:v>
                </c:pt>
                <c:pt idx="4">
                  <c:v>Microbiológica</c:v>
                </c:pt>
              </c:strCache>
            </c:strRef>
          </c:cat>
          <c:val>
            <c:numRef>
              <c:f>'Resumen de los datos'!$B$16:$B$19</c:f>
              <c:numCache>
                <c:formatCode>General</c:formatCode>
                <c:ptCount val="4"/>
                <c:pt idx="0">
                  <c:v>92</c:v>
                </c:pt>
                <c:pt idx="1">
                  <c:v>71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7350225541490272"/>
          <c:y val="0.34039228615490957"/>
          <c:w val="0.21376356080489939"/>
          <c:h val="0.38579469233012542"/>
        </c:manualLayout>
      </c:layout>
      <c:overlay val="0"/>
      <c:txPr>
        <a:bodyPr/>
        <a:lstStyle/>
        <a:p>
          <a:pPr>
            <a:defRPr sz="1050"/>
          </a:pPr>
          <a:endParaRPr lang="es-E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Incorporación anual de datos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0232699954421864"/>
          <c:y val="0.18394561335570758"/>
          <c:w val="0.634778317380986"/>
          <c:h val="0.7065389613183598"/>
        </c:manualLayout>
      </c:layout>
      <c:barChart>
        <c:barDir val="col"/>
        <c:grouping val="stacked"/>
        <c:varyColors val="0"/>
        <c:ser>
          <c:idx val="1"/>
          <c:order val="0"/>
          <c:tx>
            <c:v>Total acumulado</c:v>
          </c:tx>
          <c:spPr>
            <a:solidFill>
              <a:schemeClr val="accent2">
                <a:lumMod val="75000"/>
              </a:schemeClr>
            </a:solidFill>
          </c:spPr>
          <c:invertIfNegative val="0"/>
          <c:cat>
            <c:strRef>
              <c:f>'Resumen global (2014)'!$B$21:$G$21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global (2014)'!$B$25:$G$25</c:f>
              <c:numCache>
                <c:formatCode>General</c:formatCode>
                <c:ptCount val="6"/>
                <c:pt idx="0">
                  <c:v>0</c:v>
                </c:pt>
                <c:pt idx="1">
                  <c:v>5564715</c:v>
                </c:pt>
                <c:pt idx="2">
                  <c:v>6302457</c:v>
                </c:pt>
                <c:pt idx="3">
                  <c:v>7391224</c:v>
                </c:pt>
                <c:pt idx="4">
                  <c:v>7337670</c:v>
                </c:pt>
                <c:pt idx="5">
                  <c:v>7652960</c:v>
                </c:pt>
              </c:numCache>
            </c:numRef>
          </c:val>
        </c:ser>
        <c:ser>
          <c:idx val="0"/>
          <c:order val="1"/>
          <c:tx>
            <c:v>Incremento anual del número de datos</c:v>
          </c:tx>
          <c:spPr>
            <a:solidFill>
              <a:schemeClr val="accent6"/>
            </a:solidFill>
          </c:spPr>
          <c:invertIfNegative val="0"/>
          <c:cat>
            <c:strRef>
              <c:f>'Resumen global (2014)'!$B$21:$G$21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global (2014)'!$B$23:$G$23</c:f>
              <c:numCache>
                <c:formatCode>General</c:formatCode>
                <c:ptCount val="6"/>
                <c:pt idx="0">
                  <c:v>5564715</c:v>
                </c:pt>
                <c:pt idx="1">
                  <c:v>737742</c:v>
                </c:pt>
                <c:pt idx="2">
                  <c:v>1088767</c:v>
                </c:pt>
                <c:pt idx="3">
                  <c:v>1035213</c:v>
                </c:pt>
                <c:pt idx="4">
                  <c:v>315290</c:v>
                </c:pt>
                <c:pt idx="5">
                  <c:v>1694181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4877312"/>
        <c:axId val="214878848"/>
      </c:barChart>
      <c:catAx>
        <c:axId val="214877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4878848"/>
        <c:crosses val="autoZero"/>
        <c:auto val="1"/>
        <c:lblAlgn val="ctr"/>
        <c:lblOffset val="100"/>
        <c:noMultiLvlLbl val="0"/>
      </c:catAx>
      <c:valAx>
        <c:axId val="214878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in"/>
        <c:tickLblPos val="nextTo"/>
        <c:crossAx val="2148773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702547660584342"/>
          <c:y val="0.43583253732627686"/>
          <c:w val="0.21099847548996495"/>
          <c:h val="0.3380618734133643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Total de colecciones</c:v>
          </c:tx>
          <c:spPr>
            <a:solidFill>
              <a:schemeClr val="bg1">
                <a:lumMod val="50000"/>
              </a:schemeClr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(2014)'!$E$36:$E$43</c:f>
              <c:numCache>
                <c:formatCode>General</c:formatCode>
                <c:ptCount val="8"/>
                <c:pt idx="0">
                  <c:v>172</c:v>
                </c:pt>
                <c:pt idx="1">
                  <c:v>195</c:v>
                </c:pt>
                <c:pt idx="2">
                  <c:v>20</c:v>
                </c:pt>
                <c:pt idx="3">
                  <c:v>6</c:v>
                </c:pt>
                <c:pt idx="4">
                  <c:v>31</c:v>
                </c:pt>
                <c:pt idx="5">
                  <c:v>2</c:v>
                </c:pt>
                <c:pt idx="6">
                  <c:v>3</c:v>
                </c:pt>
                <c:pt idx="7">
                  <c:v>19</c:v>
                </c:pt>
              </c:numCache>
            </c:numRef>
          </c:val>
        </c:ser>
        <c:ser>
          <c:idx val="1"/>
          <c:order val="1"/>
          <c:tx>
            <c:v>Colecciones en GBIF</c:v>
          </c:tx>
          <c:spPr>
            <a:solidFill>
              <a:srgbClr val="0070C0"/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(2014)'!$B$36:$B$43</c:f>
              <c:numCache>
                <c:formatCode>General</c:formatCode>
                <c:ptCount val="8"/>
                <c:pt idx="0">
                  <c:v>73</c:v>
                </c:pt>
                <c:pt idx="1">
                  <c:v>71</c:v>
                </c:pt>
                <c:pt idx="2">
                  <c:v>14</c:v>
                </c:pt>
                <c:pt idx="3">
                  <c:v>6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44544256"/>
        <c:axId val="244545792"/>
      </c:barChart>
      <c:catAx>
        <c:axId val="244544256"/>
        <c:scaling>
          <c:orientation val="minMax"/>
        </c:scaling>
        <c:delete val="0"/>
        <c:axPos val="b"/>
        <c:majorTickMark val="none"/>
        <c:minorTickMark val="none"/>
        <c:tickLblPos val="nextTo"/>
        <c:crossAx val="244545792"/>
        <c:crosses val="autoZero"/>
        <c:auto val="1"/>
        <c:lblAlgn val="ctr"/>
        <c:lblOffset val="100"/>
        <c:noMultiLvlLbl val="0"/>
      </c:catAx>
      <c:valAx>
        <c:axId val="244545792"/>
        <c:scaling>
          <c:orientation val="minMax"/>
          <c:max val="195"/>
          <c:min val="0"/>
        </c:scaling>
        <c:delete val="1"/>
        <c:axPos val="l"/>
        <c:numFmt formatCode="General" sourceLinked="1"/>
        <c:majorTickMark val="out"/>
        <c:minorTickMark val="none"/>
        <c:tickLblPos val="nextTo"/>
        <c:crossAx val="244544256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ofPieChart>
        <c:ofPieType val="pie"/>
        <c:varyColors val="1"/>
        <c:ser>
          <c:idx val="0"/>
          <c:order val="0"/>
          <c:tx>
            <c:v>Colecciones y bases de datos</c:v>
          </c:tx>
          <c:dPt>
            <c:idx val="0"/>
            <c:bubble3D val="0"/>
            <c:spPr>
              <a:solidFill>
                <a:schemeClr val="bg1">
                  <a:lumMod val="65000"/>
                </a:schemeClr>
              </a:solidFill>
            </c:spPr>
          </c:dPt>
          <c:dPt>
            <c:idx val="1"/>
            <c:bubble3D val="0"/>
            <c:spPr>
              <a:solidFill>
                <a:srgbClr val="078713"/>
              </a:solidFill>
            </c:spPr>
          </c:dPt>
          <c:dPt>
            <c:idx val="2"/>
            <c:bubble3D val="0"/>
            <c:spPr>
              <a:solidFill>
                <a:srgbClr val="C00000"/>
              </a:solidFill>
            </c:spPr>
          </c:dPt>
          <c:dPt>
            <c:idx val="3"/>
            <c:bubble3D val="0"/>
            <c:spPr>
              <a:solidFill>
                <a:srgbClr val="A9DA74"/>
              </a:solidFill>
            </c:spPr>
          </c:dPt>
          <c:dPt>
            <c:idx val="4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Pt>
            <c:idx val="7"/>
            <c:bubble3D val="0"/>
            <c:explosion val="7"/>
            <c:spPr>
              <a:solidFill>
                <a:srgbClr val="0070C0"/>
              </a:solidFill>
            </c:spPr>
          </c:dPt>
          <c:dLbls>
            <c:dLbl>
              <c:idx val="0"/>
              <c:numFmt formatCode="0.0%" sourceLinked="0"/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1"/>
              <c:tx>
                <c:rich>
                  <a:bodyPr/>
                  <a:lstStyle/>
                  <a:p>
                    <a:pPr>
                      <a:defRPr>
                        <a:solidFill>
                          <a:schemeClr val="bg1"/>
                        </a:solidFill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</a:rPr>
                      <a:t>73; 43,7%</a:t>
                    </a:r>
                  </a:p>
                </c:rich>
              </c:tx>
              <c:numFmt formatCode="0.0%" sourceLinked="0"/>
              <c:spPr/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2"/>
              <c:tx>
                <c:rich>
                  <a:bodyPr/>
                  <a:lstStyle/>
                  <a:p>
                    <a:pPr>
                      <a:defRPr>
                        <a:solidFill>
                          <a:schemeClr val="bg1"/>
                        </a:solidFill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</a:rPr>
                      <a:t>71; 42,5%</a:t>
                    </a:r>
                  </a:p>
                </c:rich>
              </c:tx>
              <c:numFmt formatCode="0.0%" sourceLinked="0"/>
              <c:spPr/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3"/>
              <c:tx>
                <c:rich>
                  <a:bodyPr/>
                  <a:lstStyle/>
                  <a:p>
                    <a:pPr>
                      <a:defRPr>
                        <a:solidFill>
                          <a:sysClr val="windowText" lastClr="000000"/>
                        </a:solidFill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14; 8,4%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6; 3,6%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2; 1,2%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1; 0.6%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7"/>
              <c:numFmt formatCode="0.0%" sourceLinked="0"/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numFmt formatCode="0.0%" sourceLinked="0"/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; </c:separator>
            <c:showLeaderLines val="1"/>
          </c:dLbls>
          <c:cat>
            <c:strRef>
              <c:f>('Colecc. y BD en España'!$I$4;'Colecc. y BD en España'!$I$6:$I$13)</c:f>
              <c:strCache>
                <c:ptCount val="9"/>
                <c:pt idx="0">
                  <c:v>sin datos en GBIF</c:v>
                </c:pt>
                <c:pt idx="1">
                  <c:v>Plantas</c:v>
                </c:pt>
                <c:pt idx="2">
                  <c:v>Animales</c:v>
                </c:pt>
                <c:pt idx="3">
                  <c:v>Algas</c:v>
                </c:pt>
                <c:pt idx="4">
                  <c:v>Hongos</c:v>
                </c:pt>
                <c:pt idx="5">
                  <c:v>Paleontología</c:v>
                </c:pt>
                <c:pt idx="6">
                  <c:v>Mixto</c:v>
                </c:pt>
                <c:pt idx="7">
                  <c:v>Microbiología</c:v>
                </c:pt>
                <c:pt idx="8">
                  <c:v>Geología</c:v>
                </c:pt>
              </c:strCache>
            </c:strRef>
          </c:cat>
          <c:val>
            <c:numRef>
              <c:f>('Colecc. y BD en España'!$H$4;'Colecc. y BD en España'!$H$6:$H$11)</c:f>
              <c:numCache>
                <c:formatCode>General</c:formatCode>
                <c:ptCount val="7"/>
                <c:pt idx="0">
                  <c:v>281</c:v>
                </c:pt>
                <c:pt idx="1">
                  <c:v>73</c:v>
                </c:pt>
                <c:pt idx="2">
                  <c:v>71</c:v>
                </c:pt>
                <c:pt idx="3">
                  <c:v>14</c:v>
                </c:pt>
                <c:pt idx="4">
                  <c:v>6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</c:ser>
        <c:dLbls>
          <c:dLblPos val="bestFit"/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gapWidth val="100"/>
        <c:splitType val="pos"/>
        <c:splitPos val="6"/>
        <c:secondPieSize val="125"/>
        <c:serLines>
          <c:spPr>
            <a:ln w="15875">
              <a:solidFill>
                <a:srgbClr val="0070C0"/>
              </a:solidFill>
            </a:ln>
            <a:effectLst/>
          </c:spPr>
        </c:serLines>
      </c:ofPieChart>
      <c:spPr>
        <a:noFill/>
      </c:spPr>
    </c:plotArea>
    <c:legend>
      <c:legendPos val="b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Total de colecciones</c:v>
          </c:tx>
          <c:spPr>
            <a:solidFill>
              <a:schemeClr val="bg1">
                <a:lumMod val="50000"/>
              </a:schemeClr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(2014)'!$E$36:$E$43</c:f>
              <c:numCache>
                <c:formatCode>General</c:formatCode>
                <c:ptCount val="8"/>
                <c:pt idx="0">
                  <c:v>172</c:v>
                </c:pt>
                <c:pt idx="1">
                  <c:v>195</c:v>
                </c:pt>
                <c:pt idx="2">
                  <c:v>20</c:v>
                </c:pt>
                <c:pt idx="3">
                  <c:v>6</c:v>
                </c:pt>
                <c:pt idx="4">
                  <c:v>31</c:v>
                </c:pt>
                <c:pt idx="5">
                  <c:v>2</c:v>
                </c:pt>
                <c:pt idx="6">
                  <c:v>3</c:v>
                </c:pt>
                <c:pt idx="7">
                  <c:v>19</c:v>
                </c:pt>
              </c:numCache>
            </c:numRef>
          </c:val>
        </c:ser>
        <c:ser>
          <c:idx val="1"/>
          <c:order val="1"/>
          <c:tx>
            <c:v>Colecciones en GBIF</c:v>
          </c:tx>
          <c:spPr>
            <a:solidFill>
              <a:srgbClr val="0070C0"/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(2014)'!$B$36:$B$43</c:f>
              <c:numCache>
                <c:formatCode>General</c:formatCode>
                <c:ptCount val="8"/>
                <c:pt idx="0">
                  <c:v>73</c:v>
                </c:pt>
                <c:pt idx="1">
                  <c:v>71</c:v>
                </c:pt>
                <c:pt idx="2">
                  <c:v>14</c:v>
                </c:pt>
                <c:pt idx="3">
                  <c:v>6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17959424"/>
        <c:axId val="218628864"/>
      </c:barChart>
      <c:catAx>
        <c:axId val="217959424"/>
        <c:scaling>
          <c:orientation val="minMax"/>
        </c:scaling>
        <c:delete val="0"/>
        <c:axPos val="b"/>
        <c:majorTickMark val="none"/>
        <c:minorTickMark val="none"/>
        <c:tickLblPos val="nextTo"/>
        <c:crossAx val="218628864"/>
        <c:crosses val="autoZero"/>
        <c:auto val="1"/>
        <c:lblAlgn val="ctr"/>
        <c:lblOffset val="100"/>
        <c:noMultiLvlLbl val="0"/>
      </c:catAx>
      <c:valAx>
        <c:axId val="218628864"/>
        <c:scaling>
          <c:orientation val="minMax"/>
          <c:max val="195"/>
          <c:min val="0"/>
        </c:scaling>
        <c:delete val="1"/>
        <c:axPos val="l"/>
        <c:numFmt formatCode="General" sourceLinked="1"/>
        <c:majorTickMark val="out"/>
        <c:minorTickMark val="none"/>
        <c:tickLblPos val="nextTo"/>
        <c:crossAx val="21795942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ofPieChart>
        <c:ofPieType val="pie"/>
        <c:varyColors val="1"/>
        <c:ser>
          <c:idx val="0"/>
          <c:order val="0"/>
          <c:tx>
            <c:v>Colecciones y bases de datos</c:v>
          </c:tx>
          <c:dPt>
            <c:idx val="0"/>
            <c:bubble3D val="0"/>
            <c:spPr>
              <a:solidFill>
                <a:schemeClr val="bg1">
                  <a:lumMod val="65000"/>
                </a:schemeClr>
              </a:solidFill>
            </c:spPr>
          </c:dPt>
          <c:dPt>
            <c:idx val="1"/>
            <c:bubble3D val="0"/>
            <c:spPr>
              <a:solidFill>
                <a:srgbClr val="078713"/>
              </a:solidFill>
            </c:spPr>
          </c:dPt>
          <c:dPt>
            <c:idx val="2"/>
            <c:bubble3D val="0"/>
            <c:spPr>
              <a:solidFill>
                <a:srgbClr val="C00000"/>
              </a:solidFill>
            </c:spPr>
          </c:dPt>
          <c:dPt>
            <c:idx val="3"/>
            <c:bubble3D val="0"/>
            <c:spPr>
              <a:solidFill>
                <a:srgbClr val="A9DA74"/>
              </a:solidFill>
            </c:spPr>
          </c:dPt>
          <c:dPt>
            <c:idx val="4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Pt>
            <c:idx val="7"/>
            <c:bubble3D val="0"/>
            <c:explosion val="7"/>
            <c:spPr>
              <a:solidFill>
                <a:srgbClr val="0070C0"/>
              </a:solidFill>
            </c:spPr>
          </c:dPt>
          <c:dLbls>
            <c:dLbl>
              <c:idx val="0"/>
              <c:numFmt formatCode="0.0%" sourceLinked="0"/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1"/>
              <c:tx>
                <c:rich>
                  <a:bodyPr/>
                  <a:lstStyle/>
                  <a:p>
                    <a:pPr>
                      <a:defRPr>
                        <a:solidFill>
                          <a:schemeClr val="bg1"/>
                        </a:solidFill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</a:rPr>
                      <a:t>73; 43,7%</a:t>
                    </a:r>
                  </a:p>
                </c:rich>
              </c:tx>
              <c:numFmt formatCode="0.0%" sourceLinked="0"/>
              <c:spPr/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2"/>
              <c:tx>
                <c:rich>
                  <a:bodyPr/>
                  <a:lstStyle/>
                  <a:p>
                    <a:pPr>
                      <a:defRPr>
                        <a:solidFill>
                          <a:schemeClr val="bg1"/>
                        </a:solidFill>
                      </a:defRPr>
                    </a:pPr>
                    <a:r>
                      <a:rPr lang="en-US">
                        <a:solidFill>
                          <a:schemeClr val="bg1"/>
                        </a:solidFill>
                      </a:rPr>
                      <a:t>71; 42,5%</a:t>
                    </a:r>
                  </a:p>
                </c:rich>
              </c:tx>
              <c:numFmt formatCode="0.0%" sourceLinked="0"/>
              <c:spPr/>
              <c:dLblPos val="ctr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3"/>
              <c:tx>
                <c:rich>
                  <a:bodyPr/>
                  <a:lstStyle/>
                  <a:p>
                    <a:pPr>
                      <a:defRPr>
                        <a:solidFill>
                          <a:sysClr val="windowText" lastClr="000000"/>
                        </a:solidFill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14; 8,4%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6; 3,6%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2; 1,2%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1; 0.6%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; </c:separator>
            </c:dLbl>
            <c:dLbl>
              <c:idx val="7"/>
              <c:numFmt formatCode="0.0%" sourceLinked="0"/>
              <c:spPr/>
              <c:txPr>
                <a:bodyPr/>
                <a:lstStyle/>
                <a:p>
                  <a:pPr>
                    <a:defRPr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numFmt formatCode="0.0%" sourceLinked="0"/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; </c:separator>
            <c:showLeaderLines val="1"/>
          </c:dLbls>
          <c:cat>
            <c:strRef>
              <c:f>('Colecc. y BD en España'!$J$4,'Colecc. y BD en España'!$J$6:$J$13)</c:f>
              <c:strCache>
                <c:ptCount val="1"/>
                <c:pt idx="0">
                  <c:v>Hongos</c:v>
                </c:pt>
              </c:strCache>
            </c:strRef>
          </c:cat>
          <c:val>
            <c:numRef>
              <c:f>('Colecc. y BD en España'!$I$4,'Colecc. y BD en España'!$I$6:$I$11)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gapWidth val="100"/>
        <c:splitType val="pos"/>
        <c:splitPos val="6"/>
        <c:secondPieSize val="125"/>
        <c:serLines>
          <c:spPr>
            <a:ln w="15875">
              <a:solidFill>
                <a:srgbClr val="0070C0"/>
              </a:solidFill>
            </a:ln>
            <a:effectLst/>
          </c:spPr>
        </c:serLines>
      </c:ofPieChart>
      <c:spPr>
        <a:noFill/>
      </c:spPr>
    </c:plotArea>
    <c:legend>
      <c:legendPos val="b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Total de colecciones</c:v>
          </c:tx>
          <c:spPr>
            <a:solidFill>
              <a:schemeClr val="bg1">
                <a:lumMod val="50000"/>
              </a:schemeClr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(2014)'!$E$36:$E$43</c:f>
              <c:numCache>
                <c:formatCode>General</c:formatCode>
                <c:ptCount val="8"/>
                <c:pt idx="0">
                  <c:v>172</c:v>
                </c:pt>
                <c:pt idx="1">
                  <c:v>195</c:v>
                </c:pt>
                <c:pt idx="2">
                  <c:v>20</c:v>
                </c:pt>
                <c:pt idx="3">
                  <c:v>6</c:v>
                </c:pt>
                <c:pt idx="4">
                  <c:v>31</c:v>
                </c:pt>
                <c:pt idx="5">
                  <c:v>2</c:v>
                </c:pt>
                <c:pt idx="6">
                  <c:v>3</c:v>
                </c:pt>
                <c:pt idx="7">
                  <c:v>19</c:v>
                </c:pt>
              </c:numCache>
            </c:numRef>
          </c:val>
        </c:ser>
        <c:ser>
          <c:idx val="1"/>
          <c:order val="1"/>
          <c:tx>
            <c:v>Colecciones en GBIF</c:v>
          </c:tx>
          <c:spPr>
            <a:solidFill>
              <a:srgbClr val="0070C0"/>
            </a:solidFill>
          </c:spPr>
          <c:invertIfNegative val="0"/>
          <c:cat>
            <c:strRef>
              <c:f>'Resumen global (2014)'!$D$36:$D$43</c:f>
              <c:strCache>
                <c:ptCount val="8"/>
                <c:pt idx="0">
                  <c:v>Plantas</c:v>
                </c:pt>
                <c:pt idx="1">
                  <c:v>Animales</c:v>
                </c:pt>
                <c:pt idx="2">
                  <c:v>Algas</c:v>
                </c:pt>
                <c:pt idx="3">
                  <c:v>Hongos</c:v>
                </c:pt>
                <c:pt idx="4">
                  <c:v>Paleo</c:v>
                </c:pt>
                <c:pt idx="5">
                  <c:v>Geo</c:v>
                </c:pt>
                <c:pt idx="6">
                  <c:v>Micro</c:v>
                </c:pt>
                <c:pt idx="7">
                  <c:v>Mixta</c:v>
                </c:pt>
              </c:strCache>
            </c:strRef>
          </c:cat>
          <c:val>
            <c:numRef>
              <c:f>'Resumen global (2014)'!$B$36:$B$43</c:f>
              <c:numCache>
                <c:formatCode>General</c:formatCode>
                <c:ptCount val="8"/>
                <c:pt idx="0">
                  <c:v>76</c:v>
                </c:pt>
                <c:pt idx="1">
                  <c:v>72</c:v>
                </c:pt>
                <c:pt idx="2">
                  <c:v>15</c:v>
                </c:pt>
                <c:pt idx="3">
                  <c:v>7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18781568"/>
        <c:axId val="218783104"/>
      </c:barChart>
      <c:catAx>
        <c:axId val="218781568"/>
        <c:scaling>
          <c:orientation val="minMax"/>
        </c:scaling>
        <c:delete val="0"/>
        <c:axPos val="b"/>
        <c:majorTickMark val="none"/>
        <c:minorTickMark val="none"/>
        <c:tickLblPos val="nextTo"/>
        <c:crossAx val="218783104"/>
        <c:crosses val="autoZero"/>
        <c:auto val="1"/>
        <c:lblAlgn val="ctr"/>
        <c:lblOffset val="100"/>
        <c:noMultiLvlLbl val="0"/>
      </c:catAx>
      <c:valAx>
        <c:axId val="218783104"/>
        <c:scaling>
          <c:orientation val="minMax"/>
          <c:max val="195"/>
          <c:min val="0"/>
        </c:scaling>
        <c:delete val="1"/>
        <c:axPos val="l"/>
        <c:numFmt formatCode="General" sourceLinked="1"/>
        <c:majorTickMark val="out"/>
        <c:minorTickMark val="none"/>
        <c:tickLblPos val="none"/>
        <c:crossAx val="21878156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Colecciones y bases de datos reales</a:t>
            </a:r>
            <a:r>
              <a:rPr lang="en-US" baseline="0"/>
              <a:t> y virtuales</a:t>
            </a:r>
            <a:endParaRPr lang="en-US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es-ES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'Resumen de los datos'!$E$12:$E$13</c:f>
              <c:strCache>
                <c:ptCount val="2"/>
                <c:pt idx="0">
                  <c:v>Reales</c:v>
                </c:pt>
                <c:pt idx="1">
                  <c:v>Virtuales</c:v>
                </c:pt>
              </c:strCache>
            </c:strRef>
          </c:cat>
          <c:val>
            <c:numRef>
              <c:f>'Resumen de los datos'!$F$12:$F$13</c:f>
              <c:numCache>
                <c:formatCode>General</c:formatCode>
                <c:ptCount val="2"/>
                <c:pt idx="0">
                  <c:v>136</c:v>
                </c:pt>
                <c:pt idx="1">
                  <c:v>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76476549127011295"/>
          <c:y val="0.45705944907952267"/>
          <c:w val="0.16033945756780402"/>
          <c:h val="0.26662656751239427"/>
        </c:manualLayout>
      </c:layout>
      <c:overlay val="0"/>
      <c:txPr>
        <a:bodyPr/>
        <a:lstStyle/>
        <a:p>
          <a:pPr>
            <a:defRPr sz="1100"/>
          </a:pPr>
          <a:endParaRPr lang="es-E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Total de colecciones y bases de datos</c:v>
          </c:tx>
          <c:invertIfNegative val="0"/>
          <c:cat>
            <c:strRef>
              <c:f>'Resumen de los datos'!$D$5:$I$5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de los datos'!$D$6:$I$6</c:f>
              <c:numCache>
                <c:formatCode>General</c:formatCode>
                <c:ptCount val="6"/>
                <c:pt idx="0">
                  <c:v>115</c:v>
                </c:pt>
                <c:pt idx="1">
                  <c:v>126</c:v>
                </c:pt>
                <c:pt idx="2">
                  <c:v>144</c:v>
                </c:pt>
                <c:pt idx="3">
                  <c:v>149</c:v>
                </c:pt>
                <c:pt idx="4">
                  <c:v>158</c:v>
                </c:pt>
                <c:pt idx="5">
                  <c:v>164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0765824"/>
        <c:axId val="310767616"/>
      </c:barChart>
      <c:catAx>
        <c:axId val="310765824"/>
        <c:scaling>
          <c:orientation val="minMax"/>
        </c:scaling>
        <c:delete val="0"/>
        <c:axPos val="b"/>
        <c:majorTickMark val="out"/>
        <c:minorTickMark val="none"/>
        <c:tickLblPos val="nextTo"/>
        <c:crossAx val="310767616"/>
        <c:crosses val="autoZero"/>
        <c:auto val="1"/>
        <c:lblAlgn val="ctr"/>
        <c:lblOffset val="100"/>
        <c:noMultiLvlLbl val="0"/>
      </c:catAx>
      <c:valAx>
        <c:axId val="3107676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076582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Total de registros</c:v>
          </c:tx>
          <c:spPr>
            <a:solidFill>
              <a:schemeClr val="accent2">
                <a:lumMod val="75000"/>
              </a:schemeClr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63500"/>
              <a:bevelB w="0"/>
            </a:sp3d>
          </c:spPr>
          <c:invertIfNegative val="0"/>
          <c:cat>
            <c:strRef>
              <c:f>'Resumen de los datos'!$D$5:$I$5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de los datos'!$D$7:$I$7</c:f>
              <c:numCache>
                <c:formatCode>General</c:formatCode>
                <c:ptCount val="6"/>
                <c:pt idx="0">
                  <c:v>5564715</c:v>
                </c:pt>
                <c:pt idx="1">
                  <c:v>6302457</c:v>
                </c:pt>
                <c:pt idx="2">
                  <c:v>7391224</c:v>
                </c:pt>
                <c:pt idx="3">
                  <c:v>8426437</c:v>
                </c:pt>
                <c:pt idx="4">
                  <c:v>8741727</c:v>
                </c:pt>
                <c:pt idx="5">
                  <c:v>9321242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2421760"/>
        <c:axId val="312452224"/>
      </c:barChart>
      <c:catAx>
        <c:axId val="312421760"/>
        <c:scaling>
          <c:orientation val="minMax"/>
        </c:scaling>
        <c:delete val="0"/>
        <c:axPos val="b"/>
        <c:majorTickMark val="out"/>
        <c:minorTickMark val="none"/>
        <c:tickLblPos val="nextTo"/>
        <c:crossAx val="312452224"/>
        <c:crosses val="autoZero"/>
        <c:auto val="1"/>
        <c:lblAlgn val="ctr"/>
        <c:lblOffset val="100"/>
        <c:noMultiLvlLbl val="0"/>
      </c:catAx>
      <c:valAx>
        <c:axId val="312452224"/>
        <c:scaling>
          <c:orientation val="minMax"/>
        </c:scaling>
        <c:delete val="0"/>
        <c:axPos val="l"/>
        <c:majorGridlines/>
        <c:numFmt formatCode="#,##0" sourceLinked="0"/>
        <c:majorTickMark val="out"/>
        <c:minorTickMark val="in"/>
        <c:tickLblPos val="nextTo"/>
        <c:crossAx val="312421760"/>
        <c:crosses val="autoZero"/>
        <c:crossBetween val="between"/>
        <c:dispUnits>
          <c:builtInUnit val="millions"/>
          <c:dispUnitsLbl>
            <c:tx>
              <c:rich>
                <a:bodyPr/>
                <a:lstStyle/>
                <a:p>
                  <a:pPr>
                    <a:defRPr sz="1100"/>
                  </a:pPr>
                  <a:r>
                    <a:rPr lang="es-ES" sz="1100"/>
                    <a:t>En millones</a:t>
                  </a:r>
                </a:p>
              </c:rich>
            </c:tx>
          </c:dispUnitsLbl>
        </c:dispUnits>
      </c:valAx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2009</a:t>
            </a:r>
          </a:p>
        </c:rich>
      </c:tx>
      <c:layout>
        <c:manualLayout>
          <c:xMode val="edge"/>
          <c:yMode val="edge"/>
          <c:x val="0.16041666666666668"/>
          <c:y val="4.629629629629629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777777777777779E-2"/>
          <c:y val="0.15729184893554973"/>
          <c:w val="0.85833333333333328"/>
          <c:h val="0.6899303732866725"/>
        </c:manualLayout>
      </c:layout>
      <c:ofPieChart>
        <c:ofPieType val="bar"/>
        <c:varyColors val="1"/>
        <c:ser>
          <c:idx val="0"/>
          <c:order val="0"/>
          <c:tx>
            <c:v>Actualización de los datos en GBIF</c:v>
          </c:tx>
          <c:explosion val="10"/>
          <c:dPt>
            <c:idx val="0"/>
            <c:bubble3D val="0"/>
            <c:spPr>
              <a:solidFill>
                <a:schemeClr val="bg1">
                  <a:lumMod val="50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3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4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6"/>
            <c:bubble3D val="0"/>
            <c:explosion val="0"/>
            <c:spPr>
              <a:solidFill>
                <a:schemeClr val="accent1"/>
              </a:solidFill>
            </c:spPr>
          </c:dPt>
          <c:dLbls>
            <c:dLbl>
              <c:idx val="5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chemeClr val="bg1"/>
                    </a:solidFill>
                  </a:defRPr>
                </a:pPr>
                <a:endParaRPr lang="es-E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'Resumen global (2014)'!$J$22:$J$27</c:f>
              <c:strCache>
                <c:ptCount val="6"/>
                <c:pt idx="0">
                  <c:v>Sin actualizar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global (2014)'!$B$2:$B$7</c:f>
              <c:numCache>
                <c:formatCode>General</c:formatCode>
                <c:ptCount val="6"/>
                <c:pt idx="0">
                  <c:v>74</c:v>
                </c:pt>
                <c:pt idx="1">
                  <c:v>7</c:v>
                </c:pt>
                <c:pt idx="2">
                  <c:v>6</c:v>
                </c:pt>
                <c:pt idx="3">
                  <c:v>13</c:v>
                </c:pt>
                <c:pt idx="4">
                  <c:v>9</c:v>
                </c:pt>
                <c:pt idx="5">
                  <c:v>8</c:v>
                </c:pt>
              </c:numCache>
            </c:numRef>
          </c:val>
        </c:ser>
        <c:dLbls>
          <c:dLblPos val="bestFit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gapWidth val="100"/>
        <c:splitType val="pos"/>
        <c:splitPos val="5"/>
        <c:secondPieSize val="75"/>
        <c:serLines/>
      </c:ofPieChart>
    </c:plotArea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2010</a:t>
            </a:r>
          </a:p>
        </c:rich>
      </c:tx>
      <c:layout>
        <c:manualLayout>
          <c:xMode val="edge"/>
          <c:yMode val="edge"/>
          <c:x val="0.16041666666666668"/>
          <c:y val="4.629629629629629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777777777777779E-2"/>
          <c:y val="0.15729184893554973"/>
          <c:w val="0.85833333333333328"/>
          <c:h val="0.6899303732866725"/>
        </c:manualLayout>
      </c:layout>
      <c:ofPieChart>
        <c:ofPieType val="bar"/>
        <c:varyColors val="1"/>
        <c:ser>
          <c:idx val="0"/>
          <c:order val="0"/>
          <c:tx>
            <c:v>Actualización de los datos en GBIF</c:v>
          </c:tx>
          <c:explosion val="10"/>
          <c:dPt>
            <c:idx val="0"/>
            <c:bubble3D val="0"/>
            <c:spPr>
              <a:solidFill>
                <a:schemeClr val="bg1">
                  <a:lumMod val="50000"/>
                </a:schemeClr>
              </a:solidFill>
            </c:spPr>
          </c:dPt>
          <c:dPt>
            <c:idx val="1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3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4"/>
            <c:bubble3D val="0"/>
            <c:spPr>
              <a:solidFill>
                <a:schemeClr val="accent1"/>
              </a:solidFill>
            </c:spPr>
          </c:dPt>
          <c:dPt>
            <c:idx val="5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6"/>
            <c:bubble3D val="0"/>
            <c:explosion val="0"/>
            <c:spPr>
              <a:solidFill>
                <a:schemeClr val="accent1"/>
              </a:solidFill>
            </c:spPr>
          </c:dPt>
          <c:dLbls>
            <c:dLbl>
              <c:idx val="5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chemeClr val="bg1"/>
                    </a:solidFill>
                  </a:defRPr>
                </a:pPr>
                <a:endParaRPr lang="es-E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('Resumen global (2014)'!$J$22;'Resumen global (2014)'!$J$24:$J$26)</c:f>
              <c:strCache>
                <c:ptCount val="4"/>
                <c:pt idx="0">
                  <c:v>Sin actualizar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strCache>
            </c:strRef>
          </c:cat>
          <c:val>
            <c:numRef>
              <c:f>'Resumen global (2014)'!$C$3:$C$6</c:f>
              <c:numCache>
                <c:formatCode>General</c:formatCode>
                <c:ptCount val="4"/>
                <c:pt idx="0">
                  <c:v>8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dLblPos val="bestFit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gapWidth val="100"/>
        <c:splitType val="pos"/>
        <c:splitPos val="3"/>
        <c:secondPieSize val="75"/>
        <c:serLines/>
      </c:ofPieChart>
    </c:plotArea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2011</a:t>
            </a:r>
          </a:p>
        </c:rich>
      </c:tx>
      <c:layout>
        <c:manualLayout>
          <c:xMode val="edge"/>
          <c:yMode val="edge"/>
          <c:x val="0.16041666666666668"/>
          <c:y val="4.629629629629629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777777777777779E-2"/>
          <c:y val="0.15729184893554973"/>
          <c:w val="0.85833333333333328"/>
          <c:h val="0.6899303732866725"/>
        </c:manualLayout>
      </c:layout>
      <c:ofPieChart>
        <c:ofPieType val="bar"/>
        <c:varyColors val="1"/>
        <c:ser>
          <c:idx val="0"/>
          <c:order val="0"/>
          <c:tx>
            <c:v>Actualización de los datos en GBIF</c:v>
          </c:tx>
          <c:explosion val="10"/>
          <c:dPt>
            <c:idx val="0"/>
            <c:bubble3D val="0"/>
            <c:spPr>
              <a:solidFill>
                <a:schemeClr val="bg1">
                  <a:lumMod val="50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2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3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4"/>
            <c:bubble3D val="0"/>
            <c:spPr>
              <a:solidFill>
                <a:schemeClr val="accent1"/>
              </a:solidFill>
            </c:spPr>
          </c:dPt>
          <c:dPt>
            <c:idx val="5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6"/>
            <c:bubble3D val="0"/>
            <c:explosion val="0"/>
            <c:spPr>
              <a:solidFill>
                <a:schemeClr val="accent1"/>
              </a:solidFill>
            </c:spPr>
          </c:dPt>
          <c:dLbls>
            <c:dLbl>
              <c:idx val="3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chemeClr val="bg1"/>
                    </a:solidFill>
                  </a:defRPr>
                </a:pPr>
                <a:endParaRPr lang="es-E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('Resumen global (2014)'!$J$22;'Resumen global (2014)'!$J$25:$J$27)</c:f>
              <c:strCache>
                <c:ptCount val="4"/>
                <c:pt idx="0">
                  <c:v>Sin actualizar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strCache>
            </c:strRef>
          </c:cat>
          <c:val>
            <c:numRef>
              <c:f>'Resumen global (2014)'!$D$4:$D$7</c:f>
              <c:numCache>
                <c:formatCode>General</c:formatCode>
                <c:ptCount val="4"/>
                <c:pt idx="0">
                  <c:v>15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dLblPos val="bestFit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gapWidth val="100"/>
        <c:splitType val="pos"/>
        <c:splitPos val="3"/>
        <c:secondPieSize val="75"/>
        <c:serLines/>
      </c:ofPieChart>
    </c:plotArea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2012</a:t>
            </a:r>
          </a:p>
        </c:rich>
      </c:tx>
      <c:layout>
        <c:manualLayout>
          <c:xMode val="edge"/>
          <c:yMode val="edge"/>
          <c:x val="0.26597222222222222"/>
          <c:y val="4.629629629629629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0833333333333335"/>
          <c:y val="0.16192147856517936"/>
          <c:w val="0.40284711286089236"/>
          <c:h val="0.67141185476815402"/>
        </c:manualLayout>
      </c:layout>
      <c:pieChart>
        <c:varyColors val="1"/>
        <c:ser>
          <c:idx val="0"/>
          <c:order val="0"/>
          <c:tx>
            <c:v>Actualización de los datos en GBIF</c:v>
          </c:tx>
          <c:spPr>
            <a:solidFill>
              <a:schemeClr val="tx2">
                <a:lumMod val="60000"/>
                <a:lumOff val="40000"/>
              </a:schemeClr>
            </a:solidFill>
          </c:spPr>
          <c:dPt>
            <c:idx val="0"/>
            <c:bubble3D val="0"/>
            <c:spPr>
              <a:solidFill>
                <a:schemeClr val="bg1">
                  <a:lumMod val="50000"/>
                </a:schemeClr>
              </a:solidFill>
            </c:spPr>
          </c:dPt>
          <c:dPt>
            <c:idx val="1"/>
            <c:bubble3D val="0"/>
          </c:dPt>
          <c:dPt>
            <c:idx val="2"/>
            <c:bubble3D val="0"/>
            <c:explosion val="7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Lbls>
            <c:dLbl>
              <c:idx val="1"/>
              <c:delet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2014; 25%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</c:dLbl>
            <c:dLbl>
              <c:idx val="3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spPr/>
              <c:txPr>
                <a:bodyPr/>
                <a:lstStyle/>
                <a:p>
                  <a:pPr>
                    <a:defRPr sz="1050" b="1">
                      <a:solidFill>
                        <a:sysClr val="windowText" lastClr="000000"/>
                      </a:solidFill>
                    </a:defRPr>
                  </a:pPr>
                  <a:endParaRPr lang="es-E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050" b="1">
                    <a:solidFill>
                      <a:schemeClr val="bg1"/>
                    </a:solidFill>
                  </a:defRPr>
                </a:pPr>
                <a:endParaRPr lang="es-ES"/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eparator>; </c:separator>
            <c:showLeaderLines val="0"/>
          </c:dLbls>
          <c:cat>
            <c:strRef>
              <c:f>('Resumen global (2014)'!$J$22;'Resumen global (2014)'!$J$27)</c:f>
              <c:strCache>
                <c:ptCount val="2"/>
                <c:pt idx="0">
                  <c:v>Sin actualizar</c:v>
                </c:pt>
                <c:pt idx="1">
                  <c:v>2014</c:v>
                </c:pt>
              </c:strCache>
            </c:strRef>
          </c:cat>
          <c:val>
            <c:numRef>
              <c:f>'Resumen global (2014)'!$E$5:$E$7</c:f>
              <c:numCache>
                <c:formatCode>General</c:formatCode>
                <c:ptCount val="3"/>
                <c:pt idx="0">
                  <c:v>3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</c:ser>
        <c:dLbls>
          <c:dLblPos val="bestFit"/>
          <c:showLegendKey val="0"/>
          <c:showVal val="0"/>
          <c:showCatName val="1"/>
          <c:showSerName val="0"/>
          <c:showPercent val="0"/>
          <c:showBubbleSize val="0"/>
          <c:showLeaderLines val="0"/>
        </c:dLbls>
        <c:firstSliceAng val="89"/>
      </c:pieChart>
    </c:plotArea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Incorporación anual de colecciones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1847957628050981E-2"/>
          <c:y val="0.18394561335570758"/>
          <c:w val="0.67725336728118568"/>
          <c:h val="0.7065389613183598"/>
        </c:manualLayout>
      </c:layout>
      <c:barChart>
        <c:barDir val="col"/>
        <c:grouping val="stacked"/>
        <c:varyColors val="0"/>
        <c:ser>
          <c:idx val="1"/>
          <c:order val="0"/>
          <c:tx>
            <c:v>Total acumulado</c:v>
          </c:tx>
          <c:spPr>
            <a:solidFill>
              <a:schemeClr val="tx2"/>
            </a:solidFill>
          </c:spPr>
          <c:invertIfNegative val="0"/>
          <c:cat>
            <c:strRef>
              <c:f>'Resumen global (2014)'!$B$21:$G$21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global (2014)'!$B$24:$G$24</c:f>
              <c:numCache>
                <c:formatCode>General</c:formatCode>
                <c:ptCount val="6"/>
                <c:pt idx="0">
                  <c:v>0</c:v>
                </c:pt>
                <c:pt idx="1">
                  <c:v>117</c:v>
                </c:pt>
                <c:pt idx="2">
                  <c:v>128</c:v>
                </c:pt>
                <c:pt idx="3">
                  <c:v>146</c:v>
                </c:pt>
                <c:pt idx="4">
                  <c:v>150</c:v>
                </c:pt>
                <c:pt idx="5">
                  <c:v>160</c:v>
                </c:pt>
              </c:numCache>
            </c:numRef>
          </c:val>
        </c:ser>
        <c:ser>
          <c:idx val="0"/>
          <c:order val="1"/>
          <c:tx>
            <c:v>Incremento anual del número de colecciones</c:v>
          </c:tx>
          <c:spPr>
            <a:solidFill>
              <a:srgbClr val="FFC000"/>
            </a:solidFill>
          </c:spPr>
          <c:invertIfNegative val="0"/>
          <c:cat>
            <c:strRef>
              <c:f>'Resumen global (2014)'!$B$21:$G$21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'Resumen global (2014)'!$B$22:$G$22</c:f>
              <c:numCache>
                <c:formatCode>General</c:formatCode>
                <c:ptCount val="6"/>
                <c:pt idx="0">
                  <c:v>117</c:v>
                </c:pt>
                <c:pt idx="1">
                  <c:v>11</c:v>
                </c:pt>
                <c:pt idx="2">
                  <c:v>18</c:v>
                </c:pt>
                <c:pt idx="3">
                  <c:v>4</c:v>
                </c:pt>
                <c:pt idx="4">
                  <c:v>10</c:v>
                </c:pt>
                <c:pt idx="5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4837888"/>
        <c:axId val="214851968"/>
      </c:barChart>
      <c:catAx>
        <c:axId val="214837888"/>
        <c:scaling>
          <c:orientation val="minMax"/>
        </c:scaling>
        <c:delete val="0"/>
        <c:axPos val="b"/>
        <c:majorTickMark val="out"/>
        <c:minorTickMark val="none"/>
        <c:tickLblPos val="nextTo"/>
        <c:crossAx val="214851968"/>
        <c:crosses val="autoZero"/>
        <c:auto val="1"/>
        <c:lblAlgn val="ctr"/>
        <c:lblOffset val="100"/>
        <c:noMultiLvlLbl val="0"/>
      </c:catAx>
      <c:valAx>
        <c:axId val="214851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in"/>
        <c:tickLblPos val="nextTo"/>
        <c:crossAx val="2148378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70454366856837"/>
          <c:y val="0.43583253732627686"/>
          <c:w val="0.22097851541012464"/>
          <c:h val="0.32057553461555011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4</cp:revision>
  <dcterms:created xsi:type="dcterms:W3CDTF">2015-02-06T09:50:00Z</dcterms:created>
  <dcterms:modified xsi:type="dcterms:W3CDTF">2015-02-06T10:17:00Z</dcterms:modified>
</cp:coreProperties>
</file>